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3FBB0729" w:rsidR="001A5D01" w:rsidRDefault="001A5D01" w:rsidP="001A5D01">
      <w:pPr>
        <w:pStyle w:val="Header"/>
        <w:tabs>
          <w:tab w:val="right" w:pos="9639"/>
        </w:tabs>
        <w:rPr>
          <w:bCs/>
          <w:i/>
          <w:noProof w:val="0"/>
          <w:sz w:val="24"/>
          <w:szCs w:val="24"/>
        </w:rPr>
      </w:pPr>
      <w:r>
        <w:rPr>
          <w:bCs/>
          <w:noProof w:val="0"/>
          <w:sz w:val="24"/>
          <w:szCs w:val="24"/>
        </w:rPr>
        <w:t>3GPP TSG-RAN WG2 Meeting #10</w:t>
      </w:r>
      <w:r w:rsidR="007C3D2F">
        <w:rPr>
          <w:bCs/>
          <w:noProof w:val="0"/>
          <w:sz w:val="24"/>
          <w:szCs w:val="24"/>
        </w:rPr>
        <w:t>7</w:t>
      </w:r>
      <w:r>
        <w:rPr>
          <w:bCs/>
          <w:noProof w:val="0"/>
          <w:sz w:val="24"/>
          <w:szCs w:val="24"/>
        </w:rPr>
        <w:tab/>
        <w:t>R2-19</w:t>
      </w:r>
      <w:r w:rsidR="007C3D2F">
        <w:rPr>
          <w:bCs/>
          <w:noProof w:val="0"/>
          <w:sz w:val="24"/>
          <w:szCs w:val="24"/>
        </w:rPr>
        <w:t>09486</w:t>
      </w:r>
    </w:p>
    <w:p w14:paraId="11776FA6" w14:textId="4C53EBD0" w:rsidR="00A209D6" w:rsidRPr="00465587" w:rsidRDefault="001A5D01" w:rsidP="001A5D01">
      <w:pPr>
        <w:pStyle w:val="Header"/>
        <w:tabs>
          <w:tab w:val="right" w:pos="9639"/>
        </w:tabs>
        <w:rPr>
          <w:rFonts w:eastAsia="SimSun"/>
          <w:bCs/>
          <w:sz w:val="24"/>
          <w:szCs w:val="24"/>
          <w:lang w:eastAsia="zh-CN"/>
        </w:rPr>
      </w:pPr>
      <w:r>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9DC59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0467">
        <w:rPr>
          <w:rFonts w:cs="Arial"/>
          <w:b/>
          <w:bCs/>
          <w:sz w:val="24"/>
          <w:lang w:eastAsia="ja-JP"/>
        </w:rPr>
        <w:t>11</w:t>
      </w:r>
      <w:r>
        <w:rPr>
          <w:rFonts w:cs="Arial"/>
          <w:b/>
          <w:bCs/>
          <w:sz w:val="24"/>
          <w:lang w:eastAsia="ja-JP"/>
        </w:rPr>
        <w:t>.</w:t>
      </w:r>
      <w:r w:rsidR="00850467">
        <w:rPr>
          <w:rFonts w:cs="Arial"/>
          <w:b/>
          <w:bCs/>
          <w:sz w:val="24"/>
          <w:lang w:eastAsia="ja-JP"/>
        </w:rPr>
        <w:t>7</w:t>
      </w:r>
      <w:r>
        <w:rPr>
          <w:rFonts w:cs="Arial"/>
          <w:b/>
          <w:bCs/>
          <w:sz w:val="24"/>
          <w:lang w:eastAsia="ja-JP"/>
        </w:rPr>
        <w:t>.</w:t>
      </w:r>
      <w:r w:rsidR="005D4723">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BCA231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2DFC">
        <w:rPr>
          <w:rFonts w:ascii="Arial" w:hAnsi="Arial" w:cs="Arial"/>
          <w:b/>
          <w:bCs/>
          <w:sz w:val="24"/>
        </w:rPr>
        <w:t xml:space="preserve">Clarifications </w:t>
      </w:r>
      <w:r w:rsidR="005D4723">
        <w:rPr>
          <w:rFonts w:ascii="Arial" w:hAnsi="Arial" w:cs="Arial"/>
          <w:b/>
          <w:bCs/>
          <w:sz w:val="24"/>
        </w:rPr>
        <w:t>on</w:t>
      </w:r>
      <w:r w:rsidR="00BA1391">
        <w:rPr>
          <w:rFonts w:ascii="Arial" w:hAnsi="Arial" w:cs="Arial"/>
          <w:b/>
          <w:bCs/>
          <w:sz w:val="24"/>
        </w:rPr>
        <w:t xml:space="preserve"> TSC Assistance Information</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5F1DD1E" w:rsidR="00A209D6" w:rsidRDefault="001B666E" w:rsidP="00BA1391">
      <w:r>
        <w:t xml:space="preserve">SA2 </w:t>
      </w:r>
      <w:r w:rsidR="000C6A5E">
        <w:t xml:space="preserve">has almost finalized the discussion on </w:t>
      </w:r>
      <w:r w:rsidR="00202DFC">
        <w:t xml:space="preserve">the contents </w:t>
      </w:r>
      <w:r w:rsidR="000C6A5E">
        <w:t xml:space="preserve">and description of </w:t>
      </w:r>
      <w:r w:rsidR="00202DFC">
        <w:t>TSC Assistance Information (TSCAI)</w:t>
      </w:r>
      <w:r w:rsidR="000C6A5E">
        <w:t>.</w:t>
      </w:r>
      <w:r w:rsidR="00202DFC">
        <w:t xml:space="preserve"> </w:t>
      </w:r>
      <w:r w:rsidR="000C6A5E">
        <w:t xml:space="preserve">They are described in </w:t>
      </w:r>
      <w:r w:rsidR="00D463A7">
        <w:t xml:space="preserve">[1] </w:t>
      </w:r>
      <w:r w:rsidR="000C6A5E">
        <w:t>in the following way</w:t>
      </w:r>
      <w:r w:rsidR="00202DFC">
        <w:t>:</w:t>
      </w:r>
    </w:p>
    <w:tbl>
      <w:tblPr>
        <w:tblStyle w:val="TableGrid"/>
        <w:tblW w:w="0" w:type="auto"/>
        <w:tblLook w:val="04A0" w:firstRow="1" w:lastRow="0" w:firstColumn="1" w:lastColumn="0" w:noHBand="0" w:noVBand="1"/>
      </w:tblPr>
      <w:tblGrid>
        <w:gridCol w:w="9631"/>
      </w:tblGrid>
      <w:tr w:rsidR="00202DFC" w14:paraId="4C466153" w14:textId="77777777" w:rsidTr="00202DFC">
        <w:tc>
          <w:tcPr>
            <w:tcW w:w="9631" w:type="dxa"/>
          </w:tcPr>
          <w:p w14:paraId="471C878E" w14:textId="77777777" w:rsidR="000C6A5E" w:rsidRDefault="000C6A5E" w:rsidP="000C6A5E">
            <w:pPr>
              <w:pStyle w:val="Heading3"/>
            </w:pPr>
            <w:bookmarkStart w:id="0" w:name="_Toc11137135"/>
            <w:r>
              <w:t>5.27.2</w:t>
            </w:r>
            <w:r>
              <w:tab/>
              <w:t>TSC Assistance Information (TSCAI)</w:t>
            </w:r>
            <w:bookmarkEnd w:id="0"/>
          </w:p>
          <w:p w14:paraId="2C89247C" w14:textId="77777777" w:rsidR="000C6A5E" w:rsidRDefault="000C6A5E" w:rsidP="000C6A5E">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244970FB" w14:textId="77777777" w:rsidR="000C6A5E" w:rsidRDefault="000C6A5E" w:rsidP="000C6A5E">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14:paraId="30800F0C" w14:textId="77777777" w:rsidR="000C6A5E" w:rsidRDefault="000C6A5E" w:rsidP="000C6A5E">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14:paraId="3BCE0C3D" w14:textId="77777777" w:rsidR="000C6A5E" w:rsidRDefault="000C6A5E" w:rsidP="000C6A5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6301"/>
            </w:tblGrid>
            <w:tr w:rsidR="000C6A5E" w14:paraId="735A5E84" w14:textId="77777777" w:rsidTr="004709FA">
              <w:tc>
                <w:tcPr>
                  <w:tcW w:w="3227" w:type="dxa"/>
                  <w:shd w:val="clear" w:color="auto" w:fill="auto"/>
                </w:tcPr>
                <w:p w14:paraId="6AB84192" w14:textId="77777777" w:rsidR="000C6A5E" w:rsidRDefault="000C6A5E" w:rsidP="000C6A5E">
                  <w:pPr>
                    <w:pStyle w:val="TAH"/>
                  </w:pPr>
                  <w:r>
                    <w:t>Assistance Information</w:t>
                  </w:r>
                </w:p>
              </w:tc>
              <w:tc>
                <w:tcPr>
                  <w:tcW w:w="6630" w:type="dxa"/>
                  <w:shd w:val="clear" w:color="auto" w:fill="auto"/>
                </w:tcPr>
                <w:p w14:paraId="39B86DD5" w14:textId="77777777" w:rsidR="000C6A5E" w:rsidRDefault="000C6A5E" w:rsidP="000C6A5E">
                  <w:pPr>
                    <w:pStyle w:val="TAH"/>
                  </w:pPr>
                  <w:r>
                    <w:t>Description</w:t>
                  </w:r>
                </w:p>
              </w:tc>
            </w:tr>
            <w:tr w:rsidR="000C6A5E" w14:paraId="05EBD353" w14:textId="77777777" w:rsidTr="004709FA">
              <w:tc>
                <w:tcPr>
                  <w:tcW w:w="3227" w:type="dxa"/>
                  <w:shd w:val="clear" w:color="auto" w:fill="auto"/>
                </w:tcPr>
                <w:p w14:paraId="6CE8DB7F" w14:textId="77777777" w:rsidR="000C6A5E" w:rsidRDefault="000C6A5E" w:rsidP="000C6A5E">
                  <w:pPr>
                    <w:pStyle w:val="TAL"/>
                  </w:pPr>
                  <w:r>
                    <w:t>Flow Direction</w:t>
                  </w:r>
                </w:p>
              </w:tc>
              <w:tc>
                <w:tcPr>
                  <w:tcW w:w="6630" w:type="dxa"/>
                  <w:shd w:val="clear" w:color="auto" w:fill="auto"/>
                </w:tcPr>
                <w:p w14:paraId="3C39868E" w14:textId="77777777" w:rsidR="000C6A5E" w:rsidRPr="00B56148" w:rsidRDefault="000C6A5E" w:rsidP="000C6A5E">
                  <w:pPr>
                    <w:pStyle w:val="TAL"/>
                  </w:pPr>
                  <w:r>
                    <w:t>The direction of the TSC flow (uplink or downlink)</w:t>
                  </w:r>
                  <w:r w:rsidRPr="000727DE">
                    <w:t>.</w:t>
                  </w:r>
                </w:p>
              </w:tc>
            </w:tr>
            <w:tr w:rsidR="000C6A5E" w14:paraId="6C2CBB45" w14:textId="77777777" w:rsidTr="004709FA">
              <w:tc>
                <w:tcPr>
                  <w:tcW w:w="3227" w:type="dxa"/>
                  <w:shd w:val="clear" w:color="auto" w:fill="auto"/>
                </w:tcPr>
                <w:p w14:paraId="4316D38B" w14:textId="77777777" w:rsidR="000C6A5E" w:rsidRDefault="000C6A5E" w:rsidP="000C6A5E">
                  <w:pPr>
                    <w:pStyle w:val="TAL"/>
                  </w:pPr>
                  <w:r>
                    <w:t>Periodicity</w:t>
                  </w:r>
                </w:p>
              </w:tc>
              <w:tc>
                <w:tcPr>
                  <w:tcW w:w="6630" w:type="dxa"/>
                  <w:shd w:val="clear" w:color="auto" w:fill="auto"/>
                </w:tcPr>
                <w:p w14:paraId="5DBE64C5" w14:textId="77777777" w:rsidR="000C6A5E" w:rsidRDefault="000C6A5E" w:rsidP="000C6A5E">
                  <w:pPr>
                    <w:pStyle w:val="TAL"/>
                  </w:pPr>
                  <w:r>
                    <w:t>It refers to the time period between start of two bursts.</w:t>
                  </w:r>
                </w:p>
              </w:tc>
            </w:tr>
            <w:tr w:rsidR="000C6A5E" w14:paraId="783DC1CA" w14:textId="77777777" w:rsidTr="004709FA">
              <w:tc>
                <w:tcPr>
                  <w:tcW w:w="3227" w:type="dxa"/>
                  <w:shd w:val="clear" w:color="auto" w:fill="auto"/>
                </w:tcPr>
                <w:p w14:paraId="0B1940E1" w14:textId="77777777" w:rsidR="000C6A5E" w:rsidRDefault="000C6A5E" w:rsidP="000C6A5E">
                  <w:pPr>
                    <w:pStyle w:val="TAL"/>
                  </w:pPr>
                  <w:r>
                    <w:t>Burst Arrival time</w:t>
                  </w:r>
                </w:p>
              </w:tc>
              <w:tc>
                <w:tcPr>
                  <w:tcW w:w="6630" w:type="dxa"/>
                  <w:shd w:val="clear" w:color="auto" w:fill="auto"/>
                </w:tcPr>
                <w:p w14:paraId="62DAA01F" w14:textId="77777777" w:rsidR="000C6A5E" w:rsidRDefault="000C6A5E" w:rsidP="000C6A5E">
                  <w:pPr>
                    <w:pStyle w:val="TAL"/>
                  </w:pPr>
                  <w:r>
                    <w:t>The arrival time of the data burst at either the ingress of the RAN (downlink flow direction) or egress interface of the UE (uplink flow direction).</w:t>
                  </w:r>
                </w:p>
              </w:tc>
            </w:tr>
          </w:tbl>
          <w:p w14:paraId="6D5E0DDA" w14:textId="204D0DF1" w:rsidR="00202DFC" w:rsidRDefault="00202DFC" w:rsidP="000C6A5E">
            <w:pPr>
              <w:pStyle w:val="EditorsNote"/>
              <w:ind w:left="0" w:firstLine="0"/>
            </w:pPr>
          </w:p>
        </w:tc>
      </w:tr>
    </w:tbl>
    <w:p w14:paraId="17409D04" w14:textId="07F79EA9" w:rsidR="00202DFC" w:rsidRDefault="00202DFC" w:rsidP="00BA1391"/>
    <w:p w14:paraId="418E683A" w14:textId="0082FD56" w:rsidR="002B7C6C" w:rsidRDefault="002B7C6C" w:rsidP="00BA1391">
      <w:r>
        <w:t>During the last meeting, SA2 clarified that the burst arrival time and periodicity are provided with respect to 5G time. However, one more issue, having a very big significance for RAN, is whether there is always a single set</w:t>
      </w:r>
      <w:r w:rsidR="00D463A7">
        <w:t xml:space="preserve"> of TSCAI per QoS flow provided by 5GC or multiple TSCAI sets are allowed for the case where multiple TSC streams are mapped a single QoS flow. This paper discuss</w:t>
      </w:r>
      <w:r w:rsidR="00BC03FE">
        <w:t>es</w:t>
      </w:r>
      <w:r w:rsidR="00D463A7">
        <w:t xml:space="preserve"> this aspect.</w:t>
      </w:r>
    </w:p>
    <w:p w14:paraId="631B5129" w14:textId="5FED48AB" w:rsidR="00783A66" w:rsidRPr="00850467" w:rsidRDefault="00D463A7" w:rsidP="00783A66">
      <w:pPr>
        <w:pStyle w:val="Heading1"/>
      </w:pPr>
      <w:r>
        <w:t>2</w:t>
      </w:r>
      <w:r w:rsidR="00783A66" w:rsidRPr="00850467">
        <w:tab/>
      </w:r>
      <w:r w:rsidR="004773B3">
        <w:t xml:space="preserve">Impacts of aggregating </w:t>
      </w:r>
      <w:r w:rsidR="007B17F9">
        <w:t xml:space="preserve">of multiple TSC streams on a single QoS flow on </w:t>
      </w:r>
      <w:r w:rsidR="00FB0023">
        <w:t>TSCAI</w:t>
      </w:r>
    </w:p>
    <w:p w14:paraId="5DF78EFD" w14:textId="0B4CDFE6" w:rsidR="006A2760" w:rsidRDefault="006A2760" w:rsidP="00CA541E">
      <w:r>
        <w:t xml:space="preserve">As described in </w:t>
      </w:r>
      <w:r w:rsidR="008835C9">
        <w:t>[1], “</w:t>
      </w:r>
      <w:r w:rsidR="008835C9" w:rsidRPr="008835C9">
        <w:t xml:space="preserve">TSC assistance information, as defined in Table 5.27.2-1, is provided from SMF to 5G-AN, e.g. upon </w:t>
      </w:r>
      <w:r w:rsidR="008835C9" w:rsidRPr="00297021">
        <w:rPr>
          <w:highlight w:val="yellow"/>
        </w:rPr>
        <w:t>QoS flow establishment</w:t>
      </w:r>
      <w:r w:rsidR="008835C9" w:rsidRPr="008835C9">
        <w:t>.</w:t>
      </w:r>
      <w:r w:rsidR="008835C9">
        <w:t>”</w:t>
      </w:r>
      <w:r w:rsidR="00F67C59">
        <w:t xml:space="preserve"> It is also stated that: “</w:t>
      </w:r>
      <w:r w:rsidR="00297021" w:rsidRPr="00297021">
        <w:t xml:space="preserve">For TSC QoS flows, MDBV (described in clause 5.7.3.7) is set to the Maximum Burst Size of the </w:t>
      </w:r>
      <w:r w:rsidR="00297021" w:rsidRPr="00297021">
        <w:rPr>
          <w:highlight w:val="yellow"/>
        </w:rPr>
        <w:t>aggregated TSC streams to be allocated to this QoS flow</w:t>
      </w:r>
      <w:r w:rsidR="00297021" w:rsidRPr="00297021">
        <w:t>.</w:t>
      </w:r>
      <w:r w:rsidR="00297021">
        <w:t xml:space="preserve">” </w:t>
      </w:r>
      <w:r w:rsidR="00D463A7">
        <w:t>From this description, i</w:t>
      </w:r>
      <w:r w:rsidR="0053037B">
        <w:t xml:space="preserve">t can </w:t>
      </w:r>
      <w:r w:rsidR="0053037B">
        <w:lastRenderedPageBreak/>
        <w:t xml:space="preserve">be concluded that SA2 is considering </w:t>
      </w:r>
      <w:r w:rsidR="001664A5">
        <w:t xml:space="preserve">mapping of multiple </w:t>
      </w:r>
      <w:r w:rsidR="00C82634">
        <w:t xml:space="preserve">TSC streams </w:t>
      </w:r>
      <w:r w:rsidR="00D463A7">
        <w:t xml:space="preserve">and that the provided MDBV value should correspond to a burst size of the aggregated TSC streams. However, it is not completely clear </w:t>
      </w:r>
      <w:r w:rsidR="00A00CB1">
        <w:t xml:space="preserve">whether TSCAI is to be provided per QoS flow or per </w:t>
      </w:r>
      <w:r w:rsidR="00582925">
        <w:t xml:space="preserve">each TSC stream carried inside the QoS flow. </w:t>
      </w:r>
    </w:p>
    <w:p w14:paraId="29ACCBDA" w14:textId="385AFF6D" w:rsidR="00582925" w:rsidRDefault="00582925" w:rsidP="00CA541E">
      <w:pPr>
        <w:rPr>
          <w:b/>
        </w:rPr>
      </w:pPr>
      <w:r>
        <w:rPr>
          <w:b/>
        </w:rPr>
        <w:t xml:space="preserve">Observation </w:t>
      </w:r>
      <w:r w:rsidR="00D463A7">
        <w:rPr>
          <w:b/>
        </w:rPr>
        <w:t>1</w:t>
      </w:r>
      <w:r>
        <w:rPr>
          <w:b/>
        </w:rPr>
        <w:t xml:space="preserve">: It is unclear whether SA2 intends </w:t>
      </w:r>
      <w:r w:rsidR="00D463A7">
        <w:rPr>
          <w:b/>
        </w:rPr>
        <w:t xml:space="preserve">have </w:t>
      </w:r>
      <w:r>
        <w:rPr>
          <w:b/>
        </w:rPr>
        <w:t xml:space="preserve">TSCAI </w:t>
      </w:r>
      <w:r w:rsidR="00D463A7">
        <w:rPr>
          <w:b/>
        </w:rPr>
        <w:t xml:space="preserve">provided from 5GC to RAN </w:t>
      </w:r>
      <w:r>
        <w:rPr>
          <w:b/>
        </w:rPr>
        <w:t xml:space="preserve">per QoS flow or per each TSC stream aggregated into </w:t>
      </w:r>
      <w:r w:rsidR="00273BC0">
        <w:rPr>
          <w:b/>
        </w:rPr>
        <w:t>a specific QoS flow.</w:t>
      </w:r>
    </w:p>
    <w:p w14:paraId="41B3B557" w14:textId="6A13725C" w:rsidR="00D463A7" w:rsidRDefault="00273BC0" w:rsidP="00CA541E">
      <w:r w:rsidRPr="00E535C7">
        <w:t xml:space="preserve">From RAN perspective, if the </w:t>
      </w:r>
      <w:r>
        <w:t xml:space="preserve">information is to be </w:t>
      </w:r>
      <w:r w:rsidR="00AB4D72">
        <w:t>of full use</w:t>
      </w:r>
      <w:r>
        <w:t xml:space="preserve">, it needs to be considered per TSC stream as each of </w:t>
      </w:r>
      <w:r w:rsidR="00E535C7">
        <w:t>those can have different periodicity</w:t>
      </w:r>
      <w:r w:rsidR="00D463A7">
        <w:t xml:space="preserve">, </w:t>
      </w:r>
      <w:r w:rsidR="00E535C7">
        <w:t xml:space="preserve">starting time </w:t>
      </w:r>
      <w:r w:rsidR="004A1A66">
        <w:t>or even direction. If the information w</w:t>
      </w:r>
      <w:r w:rsidR="00D463A7">
        <w:t>a</w:t>
      </w:r>
      <w:r w:rsidR="004A1A66">
        <w:t xml:space="preserve">s to be provided per </w:t>
      </w:r>
      <w:r w:rsidR="00D463A7">
        <w:t xml:space="preserve">an </w:t>
      </w:r>
      <w:r w:rsidR="004A1A66">
        <w:t>aggregate of TSC streams, it would be unclear how it was supposed to be interpreted in the gNB</w:t>
      </w:r>
      <w:r w:rsidR="009937C2">
        <w:t>, e.g.</w:t>
      </w:r>
      <w:r w:rsidR="00D463A7">
        <w:t>:</w:t>
      </w:r>
    </w:p>
    <w:p w14:paraId="0A26DBC2" w14:textId="39206E13" w:rsidR="00D463A7" w:rsidRDefault="00D463A7" w:rsidP="00D463A7">
      <w:pPr>
        <w:pStyle w:val="ListParagraph"/>
        <w:numPr>
          <w:ilvl w:val="0"/>
          <w:numId w:val="19"/>
        </w:numPr>
      </w:pPr>
      <w:r>
        <w:t>I</w:t>
      </w:r>
      <w:r w:rsidR="009937C2">
        <w:t xml:space="preserve">s the periodicity a </w:t>
      </w:r>
      <w:r w:rsidR="001D7547">
        <w:t>c</w:t>
      </w:r>
      <w:r w:rsidR="009937C2">
        <w:t xml:space="preserve">ombined periodicity during which the packets </w:t>
      </w:r>
      <w:r w:rsidR="001D7547">
        <w:t xml:space="preserve">associated to multiple TSC </w:t>
      </w:r>
      <w:r w:rsidR="009937C2">
        <w:t xml:space="preserve">streams </w:t>
      </w:r>
      <w:r w:rsidR="001D7547">
        <w:t xml:space="preserve">repeat? </w:t>
      </w:r>
    </w:p>
    <w:p w14:paraId="1EB3B834" w14:textId="77777777" w:rsidR="00D463A7" w:rsidRDefault="001D7547" w:rsidP="00D463A7">
      <w:pPr>
        <w:pStyle w:val="ListParagraph"/>
        <w:numPr>
          <w:ilvl w:val="0"/>
          <w:numId w:val="19"/>
        </w:numPr>
      </w:pPr>
      <w:r>
        <w:t xml:space="preserve">Is the starting time </w:t>
      </w:r>
      <w:r w:rsidR="00C95794">
        <w:t>indicating starting time of such</w:t>
      </w:r>
      <w:r w:rsidR="00F47F5B">
        <w:t xml:space="preserve"> a</w:t>
      </w:r>
      <w:r w:rsidR="00C95794">
        <w:t xml:space="preserve"> burst of packets? </w:t>
      </w:r>
    </w:p>
    <w:p w14:paraId="74F67DDD" w14:textId="23BCF215" w:rsidR="000E2527" w:rsidRDefault="00C95794" w:rsidP="00D463A7">
      <w:r>
        <w:t xml:space="preserve">Furthermore, even if </w:t>
      </w:r>
      <w:r w:rsidR="00331A10">
        <w:t>those definitions were clarified</w:t>
      </w:r>
      <w:r w:rsidR="003C5586">
        <w:t xml:space="preserve">, such aggregated information would </w:t>
      </w:r>
      <w:r w:rsidR="00AB4D72">
        <w:t>be of limited use</w:t>
      </w:r>
      <w:r w:rsidR="003C5586">
        <w:t xml:space="preserve"> as the scheduler input </w:t>
      </w:r>
      <w:r w:rsidR="00972E7A">
        <w:t xml:space="preserve">of the gNB, which would not know when the packets are </w:t>
      </w:r>
      <w:proofErr w:type="gramStart"/>
      <w:r w:rsidR="00972E7A">
        <w:t>actually supposed</w:t>
      </w:r>
      <w:proofErr w:type="gramEnd"/>
      <w:r w:rsidR="00972E7A">
        <w:t xml:space="preserve"> to arrive at RAN (except maybe the first packet of the burst). </w:t>
      </w:r>
      <w:r w:rsidR="00D463A7">
        <w:t xml:space="preserve">This would make it impossible for the gNB to provide the UE with proper configurations of Configured Grants or </w:t>
      </w:r>
      <w:r w:rsidR="000E2527">
        <w:t xml:space="preserve">Semi-Persistent Scheduling, as the timing of those should correspond to the time of arrival of each of the packets. Otherwise it would be impossible to meet the PDB of some packets with CG or SPS configurations. The issue is presented in </w:t>
      </w:r>
      <w:r w:rsidR="00275179">
        <w:fldChar w:fldCharType="begin"/>
      </w:r>
      <w:r w:rsidR="00275179">
        <w:instrText xml:space="preserve"> REF _Ref15397250 \h </w:instrText>
      </w:r>
      <w:r w:rsidR="00275179">
        <w:fldChar w:fldCharType="separate"/>
      </w:r>
      <w:r w:rsidR="00275179">
        <w:t xml:space="preserve">Figure </w:t>
      </w:r>
      <w:r w:rsidR="00275179">
        <w:rPr>
          <w:noProof/>
        </w:rPr>
        <w:t>1</w:t>
      </w:r>
      <w:r w:rsidR="00275179">
        <w:fldChar w:fldCharType="end"/>
      </w:r>
      <w:r w:rsidR="00275179">
        <w:t>.</w:t>
      </w:r>
    </w:p>
    <w:p w14:paraId="154031A2" w14:textId="77777777" w:rsidR="00566EC4" w:rsidRDefault="00642DBC" w:rsidP="00566EC4">
      <w:pPr>
        <w:keepNext/>
        <w:jc w:val="center"/>
      </w:pPr>
      <w:r>
        <w:rPr>
          <w:noProof/>
        </w:rPr>
        <w:drawing>
          <wp:inline distT="0" distB="0" distL="0" distR="0" wp14:anchorId="393496FA" wp14:editId="0CB1E746">
            <wp:extent cx="5600262" cy="271222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3732" cy="2723594"/>
                    </a:xfrm>
                    <a:prstGeom prst="rect">
                      <a:avLst/>
                    </a:prstGeom>
                    <a:noFill/>
                  </pic:spPr>
                </pic:pic>
              </a:graphicData>
            </a:graphic>
          </wp:inline>
        </w:drawing>
      </w:r>
    </w:p>
    <w:p w14:paraId="62236666" w14:textId="10E8F281" w:rsidR="000E2527" w:rsidRDefault="00566EC4" w:rsidP="00566EC4">
      <w:pPr>
        <w:pStyle w:val="Caption"/>
        <w:jc w:val="center"/>
      </w:pPr>
      <w:bookmarkStart w:id="1" w:name="_Ref15397250"/>
      <w:r>
        <w:t xml:space="preserve">Figure </w:t>
      </w:r>
      <w:r w:rsidR="0072116D">
        <w:rPr>
          <w:noProof/>
        </w:rPr>
        <w:fldChar w:fldCharType="begin"/>
      </w:r>
      <w:r w:rsidR="0072116D">
        <w:rPr>
          <w:noProof/>
        </w:rPr>
        <w:instrText xml:space="preserve"> SEQ Figure \* ARABIC </w:instrText>
      </w:r>
      <w:r w:rsidR="0072116D">
        <w:rPr>
          <w:noProof/>
        </w:rPr>
        <w:fldChar w:fldCharType="separate"/>
      </w:r>
      <w:r>
        <w:rPr>
          <w:noProof/>
        </w:rPr>
        <w:t>1</w:t>
      </w:r>
      <w:r w:rsidR="0072116D">
        <w:rPr>
          <w:noProof/>
        </w:rPr>
        <w:fldChar w:fldCharType="end"/>
      </w:r>
      <w:bookmarkEnd w:id="1"/>
      <w:r>
        <w:t xml:space="preserve"> Exemplary interpretation of TSCAI based on current description in TS 23.501</w:t>
      </w:r>
    </w:p>
    <w:p w14:paraId="6B54CDE8" w14:textId="0B29E063" w:rsidR="006637BC" w:rsidRDefault="006637BC" w:rsidP="00D463A7">
      <w:r>
        <w:t>As can be seen, in case multiple TSC streams are aggregated onto a single QoS flow with a single set of TSCAI parameters, it is unclear how the gNB could use it, e.g.:</w:t>
      </w:r>
    </w:p>
    <w:p w14:paraId="017F3695" w14:textId="5B9BD783" w:rsidR="006637BC" w:rsidRPr="006637BC" w:rsidRDefault="006637BC" w:rsidP="006637BC">
      <w:pPr>
        <w:pStyle w:val="ListParagraph"/>
        <w:numPr>
          <w:ilvl w:val="0"/>
          <w:numId w:val="20"/>
        </w:numPr>
        <w:rPr>
          <w:lang w:val="en-US"/>
        </w:rPr>
      </w:pPr>
      <w:r w:rsidRPr="006637BC">
        <w:rPr>
          <w:lang w:val="en-US"/>
        </w:rPr>
        <w:t>How many CG/SPS resources are needed?</w:t>
      </w:r>
      <w:r>
        <w:rPr>
          <w:lang w:val="en-US"/>
        </w:rPr>
        <w:t xml:space="preserve"> (as the number of TSC streams is unknown)</w:t>
      </w:r>
    </w:p>
    <w:p w14:paraId="172DB102" w14:textId="3916EF7E" w:rsidR="006637BC" w:rsidRPr="006637BC" w:rsidRDefault="006637BC" w:rsidP="006637BC">
      <w:pPr>
        <w:pStyle w:val="ListParagraph"/>
        <w:numPr>
          <w:ilvl w:val="0"/>
          <w:numId w:val="20"/>
        </w:numPr>
        <w:rPr>
          <w:lang w:val="en-US"/>
        </w:rPr>
      </w:pPr>
      <w:r w:rsidRPr="006637BC">
        <w:rPr>
          <w:lang w:val="en-US"/>
        </w:rPr>
        <w:t>Where to configure a CG/SPS res</w:t>
      </w:r>
      <w:r>
        <w:rPr>
          <w:lang w:val="en-US"/>
        </w:rPr>
        <w:t>o</w:t>
      </w:r>
      <w:r w:rsidRPr="006637BC">
        <w:rPr>
          <w:lang w:val="en-US"/>
        </w:rPr>
        <w:t xml:space="preserve">urce? </w:t>
      </w:r>
      <w:r>
        <w:rPr>
          <w:lang w:val="en-US"/>
        </w:rPr>
        <w:t>(as only arrival time of the burst, i.e. the first packet in the burst, is known)</w:t>
      </w:r>
    </w:p>
    <w:p w14:paraId="0BD08A4E" w14:textId="5585FE95" w:rsidR="006637BC" w:rsidRPr="006637BC" w:rsidRDefault="006637BC" w:rsidP="006637BC">
      <w:pPr>
        <w:pStyle w:val="ListParagraph"/>
        <w:numPr>
          <w:ilvl w:val="0"/>
          <w:numId w:val="20"/>
        </w:numPr>
        <w:rPr>
          <w:lang w:val="en-US"/>
        </w:rPr>
      </w:pPr>
      <w:r w:rsidRPr="006637BC">
        <w:rPr>
          <w:lang w:val="en-US"/>
        </w:rPr>
        <w:t>How big should each CG/S</w:t>
      </w:r>
      <w:r w:rsidR="00D17947">
        <w:rPr>
          <w:lang w:val="en-US"/>
        </w:rPr>
        <w:t>P</w:t>
      </w:r>
      <w:r w:rsidRPr="006637BC">
        <w:rPr>
          <w:lang w:val="en-US"/>
        </w:rPr>
        <w:t>S res</w:t>
      </w:r>
      <w:r>
        <w:rPr>
          <w:lang w:val="en-US"/>
        </w:rPr>
        <w:t>o</w:t>
      </w:r>
      <w:r w:rsidRPr="006637BC">
        <w:rPr>
          <w:lang w:val="en-US"/>
        </w:rPr>
        <w:t>urce be?</w:t>
      </w:r>
      <w:r>
        <w:rPr>
          <w:lang w:val="en-US"/>
        </w:rPr>
        <w:t xml:space="preserve"> (as MDBV is derived based on PDB, it is unclear how big each packet is or how much data is to be carried within a certain burst)</w:t>
      </w:r>
    </w:p>
    <w:p w14:paraId="457A97BE" w14:textId="77777777" w:rsidR="006637BC" w:rsidRDefault="006637BC" w:rsidP="00D463A7">
      <w:pPr>
        <w:rPr>
          <w:b/>
        </w:rPr>
      </w:pPr>
      <w:r>
        <w:rPr>
          <w:b/>
        </w:rPr>
        <w:t xml:space="preserve">Observation 2: </w:t>
      </w:r>
      <w:r w:rsidRPr="006637BC">
        <w:rPr>
          <w:b/>
        </w:rPr>
        <w:t>In the current form, in case multiple TSC streams</w:t>
      </w:r>
      <w:r>
        <w:rPr>
          <w:b/>
        </w:rPr>
        <w:t xml:space="preserve"> are mapped on a single QoS flow, TSCAI is unusable by the gNB. </w:t>
      </w:r>
    </w:p>
    <w:p w14:paraId="41AC4BF4" w14:textId="1D9F5DBC" w:rsidR="006637BC" w:rsidRDefault="006637BC" w:rsidP="00D463A7">
      <w:r>
        <w:t>There are t</w:t>
      </w:r>
      <w:r w:rsidR="00147E7C">
        <w:t>hree</w:t>
      </w:r>
      <w:r>
        <w:t xml:space="preserve"> potential solutions to this issue:</w:t>
      </w:r>
    </w:p>
    <w:p w14:paraId="4E9C6BAB" w14:textId="77777777" w:rsidR="00147E7C" w:rsidRDefault="006637BC" w:rsidP="00973CAF">
      <w:pPr>
        <w:pStyle w:val="ListParagraph"/>
        <w:numPr>
          <w:ilvl w:val="0"/>
          <w:numId w:val="22"/>
        </w:numPr>
      </w:pPr>
      <w:r>
        <w:t>TSCAI is only provided to RAN in case there is a single TSC stream mapped on the QoS flow</w:t>
      </w:r>
      <w:r w:rsidR="00147E7C">
        <w:t>.</w:t>
      </w:r>
    </w:p>
    <w:p w14:paraId="35F9BD17" w14:textId="515A789A" w:rsidR="006637BC" w:rsidRDefault="00147E7C" w:rsidP="00973CAF">
      <w:pPr>
        <w:pStyle w:val="ListParagraph"/>
        <w:numPr>
          <w:ilvl w:val="0"/>
          <w:numId w:val="22"/>
        </w:numPr>
      </w:pPr>
      <w:r>
        <w:t xml:space="preserve">TSCAI includes an information </w:t>
      </w:r>
      <w:r w:rsidR="006637BC">
        <w:t xml:space="preserve">about the number of mapped TSC streams (or at least </w:t>
      </w:r>
      <w:r w:rsidR="008A389B">
        <w:t>it indicates if the number of flows is one or more).</w:t>
      </w:r>
    </w:p>
    <w:p w14:paraId="172949C9" w14:textId="22361BD7" w:rsidR="006637BC" w:rsidRDefault="008A389B" w:rsidP="00973CAF">
      <w:pPr>
        <w:pStyle w:val="ListParagraph"/>
        <w:numPr>
          <w:ilvl w:val="0"/>
          <w:numId w:val="22"/>
        </w:numPr>
      </w:pPr>
      <w:r>
        <w:t xml:space="preserve">TSCAI parameters are provided per TSC stream. In that situation, ideally, MDBV should also be provided per TSC stream, so that resources can be used most efficiently on RAN side (otherwise it </w:t>
      </w:r>
      <w:proofErr w:type="gramStart"/>
      <w:r>
        <w:t>has to</w:t>
      </w:r>
      <w:proofErr w:type="gramEnd"/>
      <w:r>
        <w:t xml:space="preserve"> be set according to the largest packet in the burst).</w:t>
      </w:r>
    </w:p>
    <w:p w14:paraId="683E95D8" w14:textId="6320D9E9" w:rsidR="00147E7C" w:rsidRPr="00147E7C" w:rsidRDefault="00973CAF" w:rsidP="00D463A7">
      <w:r>
        <w:lastRenderedPageBreak/>
        <w:t xml:space="preserve">Obviously, the </w:t>
      </w:r>
      <w:r w:rsidR="00E83048">
        <w:t>third</w:t>
      </w:r>
      <w:r>
        <w:t xml:space="preserve"> solution would be preferable, if possible</w:t>
      </w:r>
      <w:r w:rsidR="00E04CDB">
        <w:t xml:space="preserve">. This is one of the reasons why SA2 decided to send </w:t>
      </w:r>
      <w:proofErr w:type="gramStart"/>
      <w:r w:rsidR="00E04CDB">
        <w:t>an</w:t>
      </w:r>
      <w:proofErr w:type="gramEnd"/>
      <w:r w:rsidR="00E04CDB">
        <w:t xml:space="preserve"> </w:t>
      </w:r>
      <w:r w:rsidR="00E04CDB" w:rsidRPr="00147E7C">
        <w:t>LS to IEEE, which can be found in [2]</w:t>
      </w:r>
      <w:r w:rsidR="00147E7C" w:rsidRPr="00147E7C">
        <w:t xml:space="preserve"> with the following question:</w:t>
      </w:r>
    </w:p>
    <w:tbl>
      <w:tblPr>
        <w:tblStyle w:val="TableGrid"/>
        <w:tblW w:w="0" w:type="auto"/>
        <w:tblLook w:val="04A0" w:firstRow="1" w:lastRow="0" w:firstColumn="1" w:lastColumn="0" w:noHBand="0" w:noVBand="1"/>
      </w:tblPr>
      <w:tblGrid>
        <w:gridCol w:w="9631"/>
      </w:tblGrid>
      <w:tr w:rsidR="00147E7C" w:rsidRPr="00147E7C" w14:paraId="04D38B65" w14:textId="77777777" w:rsidTr="00147E7C">
        <w:tc>
          <w:tcPr>
            <w:tcW w:w="9631" w:type="dxa"/>
          </w:tcPr>
          <w:p w14:paraId="1EC4FF94" w14:textId="77777777" w:rsidR="00147E7C" w:rsidRPr="00147E7C" w:rsidRDefault="00147E7C" w:rsidP="00147E7C">
            <w:pPr>
              <w:autoSpaceDE w:val="0"/>
              <w:autoSpaceDN w:val="0"/>
              <w:adjustRightInd w:val="0"/>
              <w:spacing w:after="0"/>
              <w:rPr>
                <w:color w:val="FF0000"/>
                <w:lang w:val="en-US" w:eastAsia="en-GB"/>
              </w:rPr>
            </w:pPr>
            <w:r w:rsidRPr="00147E7C">
              <w:rPr>
                <w:color w:val="FF0000"/>
                <w:lang w:val="en-US" w:eastAsia="en-GB"/>
              </w:rPr>
              <w:t>If the 5GS (in the role of TSN logical bridge) could be configured with QoS information with TSN</w:t>
            </w:r>
          </w:p>
          <w:p w14:paraId="068DA237" w14:textId="77777777" w:rsidR="00147E7C" w:rsidRPr="00147E7C" w:rsidRDefault="00147E7C" w:rsidP="00147E7C">
            <w:pPr>
              <w:autoSpaceDE w:val="0"/>
              <w:autoSpaceDN w:val="0"/>
              <w:adjustRightInd w:val="0"/>
              <w:spacing w:after="0"/>
              <w:rPr>
                <w:color w:val="FF0000"/>
                <w:lang w:val="en-US" w:eastAsia="en-GB"/>
              </w:rPr>
            </w:pPr>
            <w:r w:rsidRPr="00147E7C">
              <w:rPr>
                <w:color w:val="FF0000"/>
                <w:lang w:val="en-US" w:eastAsia="en-GB"/>
              </w:rPr>
              <w:t>stream granularity, the 5GS may be able to provide efficient air-interface scheduling on per TSN</w:t>
            </w:r>
          </w:p>
          <w:p w14:paraId="0294DC78" w14:textId="77777777" w:rsidR="00147E7C" w:rsidRPr="00147E7C" w:rsidRDefault="00147E7C" w:rsidP="00147E7C">
            <w:pPr>
              <w:autoSpaceDE w:val="0"/>
              <w:autoSpaceDN w:val="0"/>
              <w:adjustRightInd w:val="0"/>
              <w:spacing w:after="0"/>
              <w:rPr>
                <w:color w:val="FF0000"/>
                <w:lang w:val="en-US" w:eastAsia="en-GB"/>
              </w:rPr>
            </w:pPr>
            <w:r w:rsidRPr="00147E7C">
              <w:rPr>
                <w:color w:val="FF0000"/>
                <w:lang w:val="en-US" w:eastAsia="en-GB"/>
              </w:rPr>
              <w:t>stream basis, even when multiple TSN streams are multiplexed in the same QoS Flow.</w:t>
            </w:r>
          </w:p>
          <w:p w14:paraId="23DA9BD2" w14:textId="77777777" w:rsidR="00147E7C" w:rsidRPr="00147E7C" w:rsidRDefault="00147E7C" w:rsidP="00147E7C">
            <w:pPr>
              <w:autoSpaceDE w:val="0"/>
              <w:autoSpaceDN w:val="0"/>
              <w:adjustRightInd w:val="0"/>
              <w:spacing w:after="0"/>
              <w:rPr>
                <w:color w:val="000000"/>
                <w:lang w:val="en-US" w:eastAsia="en-GB"/>
              </w:rPr>
            </w:pPr>
            <w:r w:rsidRPr="00147E7C">
              <w:rPr>
                <w:color w:val="000000"/>
                <w:lang w:val="en-US" w:eastAsia="en-GB"/>
              </w:rPr>
              <w:t>SA2 would like to understand whether IEEE has any plans to enhance IEEE 802.1Q specification such</w:t>
            </w:r>
          </w:p>
          <w:p w14:paraId="1B9A2D96" w14:textId="149891EC" w:rsidR="00147E7C" w:rsidRPr="00147E7C" w:rsidRDefault="00147E7C" w:rsidP="00147E7C">
            <w:pPr>
              <w:rPr>
                <w:lang w:val="en-US"/>
              </w:rPr>
            </w:pPr>
            <w:r w:rsidRPr="00147E7C">
              <w:rPr>
                <w:color w:val="000000"/>
                <w:lang w:val="en-US" w:eastAsia="en-GB"/>
              </w:rPr>
              <w:t>that TSN stream scheduling in the TSN bridge is supported.</w:t>
            </w:r>
          </w:p>
        </w:tc>
      </w:tr>
    </w:tbl>
    <w:p w14:paraId="521E0DC6" w14:textId="4B081DEC" w:rsidR="00873E98" w:rsidRDefault="00147E7C" w:rsidP="00147E7C">
      <w:pPr>
        <w:spacing w:before="240"/>
      </w:pPr>
      <w:r>
        <w:t>I</w:t>
      </w:r>
      <w:r w:rsidR="00E04CDB">
        <w:t>n the reply provided by IEEE in [3]</w:t>
      </w:r>
      <w:r>
        <w:t>, we can read:</w:t>
      </w:r>
    </w:p>
    <w:tbl>
      <w:tblPr>
        <w:tblStyle w:val="TableGrid"/>
        <w:tblW w:w="0" w:type="auto"/>
        <w:tblLook w:val="04A0" w:firstRow="1" w:lastRow="0" w:firstColumn="1" w:lastColumn="0" w:noHBand="0" w:noVBand="1"/>
      </w:tblPr>
      <w:tblGrid>
        <w:gridCol w:w="9631"/>
      </w:tblGrid>
      <w:tr w:rsidR="00147E7C" w14:paraId="6F41C84E" w14:textId="77777777" w:rsidTr="00147E7C">
        <w:tc>
          <w:tcPr>
            <w:tcW w:w="9631" w:type="dxa"/>
          </w:tcPr>
          <w:p w14:paraId="7CC10EDE" w14:textId="77777777" w:rsidR="00147E7C" w:rsidRDefault="00147E7C" w:rsidP="00147E7C">
            <w:pPr>
              <w:spacing w:after="0"/>
            </w:pPr>
            <w:r>
              <w:t xml:space="preserve">Regarding Issue 2, 802.1Q provides per “QoS Flow” Scheduled Traffic </w:t>
            </w:r>
            <w:proofErr w:type="gramStart"/>
            <w:r>
              <w:t>and also</w:t>
            </w:r>
            <w:proofErr w:type="gramEnd"/>
            <w:r>
              <w:t xml:space="preserve"> already provides</w:t>
            </w:r>
          </w:p>
          <w:p w14:paraId="15645C81" w14:textId="77777777" w:rsidR="00147E7C" w:rsidRDefault="00147E7C" w:rsidP="00147E7C">
            <w:pPr>
              <w:spacing w:after="0"/>
            </w:pPr>
            <w:r>
              <w:t>per stream time-based operations with Per-Stream Filtering and Policing (PSFP). If the 5GS logical</w:t>
            </w:r>
          </w:p>
          <w:p w14:paraId="463D6C19" w14:textId="77777777" w:rsidR="00147E7C" w:rsidRDefault="00147E7C" w:rsidP="00147E7C">
            <w:pPr>
              <w:spacing w:after="0"/>
            </w:pPr>
            <w:r>
              <w:t>bridge supports both Scheduled Traffic and PSFP, then the CNC also supports both with the fully</w:t>
            </w:r>
          </w:p>
          <w:p w14:paraId="3D68CD81" w14:textId="77777777" w:rsidR="00147E7C" w:rsidRDefault="00147E7C" w:rsidP="00147E7C">
            <w:pPr>
              <w:spacing w:after="0"/>
            </w:pPr>
            <w:r>
              <w:t xml:space="preserve">centralized model specified in IEEE Std 802.1Qcc. PSFP capabilities may also </w:t>
            </w:r>
            <w:proofErr w:type="gramStart"/>
            <w:r>
              <w:t>be considered to be</w:t>
            </w:r>
            <w:proofErr w:type="gramEnd"/>
          </w:p>
          <w:p w14:paraId="6290FCDE" w14:textId="78A0A035" w:rsidR="00147E7C" w:rsidRDefault="00147E7C" w:rsidP="00147E7C">
            <w:pPr>
              <w:spacing w:after="0"/>
            </w:pPr>
            <w:r>
              <w:t>leveraged for efficient radio scheduling.</w:t>
            </w:r>
          </w:p>
        </w:tc>
      </w:tr>
    </w:tbl>
    <w:p w14:paraId="4C30FF2C" w14:textId="76815142" w:rsidR="007C3D2F" w:rsidRDefault="00147E7C" w:rsidP="00147E7C">
      <w:pPr>
        <w:spacing w:before="240"/>
      </w:pPr>
      <w:r>
        <w:t xml:space="preserve">Based on this reply it can be concluded that TSCAI can be provided per stream in case 5GC bridge supports PSFP, so solution 3 mentioned above seems feasible. </w:t>
      </w:r>
      <w:r w:rsidR="007C3D2F">
        <w:t>Note that, even if PSFP is not supported, t</w:t>
      </w:r>
      <w:r w:rsidR="007C3D2F">
        <w:t xml:space="preserve">here </w:t>
      </w:r>
      <w:r w:rsidR="007C3D2F">
        <w:t xml:space="preserve">are other means for </w:t>
      </w:r>
      <w:r w:rsidR="007C3D2F">
        <w:t xml:space="preserve">the 5G system </w:t>
      </w:r>
      <w:r w:rsidR="007C3D2F">
        <w:t xml:space="preserve">to </w:t>
      </w:r>
      <w:r w:rsidR="007C3D2F">
        <w:t xml:space="preserve">know the individual streams </w:t>
      </w:r>
      <w:r w:rsidR="007C3D2F">
        <w:t>such as</w:t>
      </w:r>
      <w:r w:rsidR="007C3D2F">
        <w:t xml:space="preserve"> the case</w:t>
      </w:r>
      <w:r w:rsidR="00D63141">
        <w:t>s</w:t>
      </w:r>
      <w:r w:rsidR="007C3D2F">
        <w:t xml:space="preserve"> where (1) the 5G System provides the CNC and thus interfaces with the CUC directly and (2) if 5G system can intercept CUC messages from the CUC/CNC via proprietary integration with the deployed TSN system. </w:t>
      </w:r>
      <w:r w:rsidR="007C3D2F">
        <w:t xml:space="preserve">Therefore, there can be several different ways for the core network to acquire per-stream TSCAI. </w:t>
      </w:r>
    </w:p>
    <w:p w14:paraId="1724AD24" w14:textId="323C512D" w:rsidR="007C3D2F" w:rsidRPr="007C3D2F" w:rsidRDefault="007C3D2F" w:rsidP="007C3D2F">
      <w:pPr>
        <w:rPr>
          <w:b/>
        </w:rPr>
      </w:pPr>
      <w:r>
        <w:rPr>
          <w:b/>
        </w:rPr>
        <w:t xml:space="preserve">Observation </w:t>
      </w:r>
      <w:r>
        <w:rPr>
          <w:b/>
        </w:rPr>
        <w:t>3</w:t>
      </w:r>
      <w:r>
        <w:rPr>
          <w:b/>
        </w:rPr>
        <w:t xml:space="preserve">: </w:t>
      </w:r>
      <w:r>
        <w:rPr>
          <w:b/>
        </w:rPr>
        <w:t>There are several different ways for the 5GS core network to obtain per-stream TSCAI, such as existing mechanisms in IEEE and proprietary integration with CNC/CUC</w:t>
      </w:r>
      <w:r>
        <w:rPr>
          <w:b/>
        </w:rPr>
        <w:t xml:space="preserve">. </w:t>
      </w:r>
    </w:p>
    <w:p w14:paraId="550F8FB3" w14:textId="567E1B78" w:rsidR="00273BC0" w:rsidRDefault="007C3D2F" w:rsidP="00147E7C">
      <w:pPr>
        <w:spacing w:before="240"/>
      </w:pPr>
      <w:proofErr w:type="gramStart"/>
      <w:r>
        <w:t>In light of</w:t>
      </w:r>
      <w:proofErr w:type="gramEnd"/>
      <w:r>
        <w:t xml:space="preserve"> these observations, </w:t>
      </w:r>
      <w:r w:rsidR="00972E7A">
        <w:t xml:space="preserve">we propose to </w:t>
      </w:r>
      <w:r w:rsidR="00D36A66">
        <w:t>clarify with SA2 what their intention is and that from RAN perspective the information is useful only in case it is provided per TSC stream and not the aggregate of those.</w:t>
      </w:r>
    </w:p>
    <w:p w14:paraId="236E2B1A" w14:textId="01916EC1" w:rsidR="007F35F3" w:rsidRPr="007F35F3" w:rsidRDefault="007F35F3" w:rsidP="00CA541E">
      <w:pPr>
        <w:rPr>
          <w:b/>
        </w:rPr>
      </w:pPr>
      <w:r>
        <w:rPr>
          <w:b/>
        </w:rPr>
        <w:t xml:space="preserve">Proposal </w:t>
      </w:r>
      <w:r w:rsidR="00147E7C">
        <w:rPr>
          <w:b/>
        </w:rPr>
        <w:t>1</w:t>
      </w:r>
      <w:r>
        <w:rPr>
          <w:b/>
        </w:rPr>
        <w:t xml:space="preserve">: Inform SA2 that in order to be able to utilize TSCAI, RAN needs to know </w:t>
      </w:r>
      <w:r w:rsidR="00CF3302">
        <w:rPr>
          <w:b/>
        </w:rPr>
        <w:t>TSCAI</w:t>
      </w:r>
      <w:r>
        <w:rPr>
          <w:b/>
        </w:rPr>
        <w:t xml:space="preserve"> per TSC stream. Clarify that a single set of </w:t>
      </w:r>
      <w:r w:rsidR="009544B7">
        <w:rPr>
          <w:b/>
        </w:rPr>
        <w:t xml:space="preserve">TSCAI </w:t>
      </w:r>
      <w:r>
        <w:rPr>
          <w:b/>
        </w:rPr>
        <w:t xml:space="preserve">values per QoS flow which aggregates multiple TSC streams </w:t>
      </w:r>
      <w:r w:rsidR="007C3D2F">
        <w:rPr>
          <w:b/>
        </w:rPr>
        <w:t>cannot be used effectively by</w:t>
      </w:r>
      <w:r w:rsidR="00264EDC">
        <w:rPr>
          <w:b/>
        </w:rPr>
        <w:t xml:space="preserve"> RAN</w:t>
      </w:r>
      <w:r>
        <w:rPr>
          <w:b/>
        </w:rPr>
        <w:t>.</w:t>
      </w:r>
    </w:p>
    <w:p w14:paraId="766D6D29" w14:textId="667382E1" w:rsidR="00A209D6" w:rsidRPr="006E13D1" w:rsidRDefault="00783A66" w:rsidP="00A209D6">
      <w:pPr>
        <w:pStyle w:val="Heading1"/>
      </w:pPr>
      <w:r>
        <w:t>4</w:t>
      </w:r>
      <w:r w:rsidR="00A209D6" w:rsidRPr="006E13D1">
        <w:tab/>
      </w:r>
      <w:r w:rsidR="003D6243">
        <w:t>Summary</w:t>
      </w:r>
    </w:p>
    <w:p w14:paraId="1E8991F2" w14:textId="53324CBA" w:rsidR="00D60162" w:rsidRDefault="001F0BAA" w:rsidP="00D60162">
      <w:r>
        <w:t>This contribution discussed impact of the TSCAI definition as currently agreed by SA2 on RAN. The following is observed:</w:t>
      </w:r>
    </w:p>
    <w:p w14:paraId="5B2FA2D4" w14:textId="77777777" w:rsidR="00820DD4" w:rsidRDefault="00820DD4" w:rsidP="00820DD4">
      <w:pPr>
        <w:rPr>
          <w:b/>
        </w:rPr>
      </w:pPr>
      <w:r>
        <w:rPr>
          <w:b/>
        </w:rPr>
        <w:t>Observation 1: It is unclear whether SA2 intends have TSCAI provided from 5GC to RAN per QoS flow or per each TSC stream aggregated into a specific QoS flow.</w:t>
      </w:r>
    </w:p>
    <w:p w14:paraId="4D869327" w14:textId="312BC4A3" w:rsidR="00820DD4" w:rsidRDefault="00820DD4" w:rsidP="00820DD4">
      <w:pPr>
        <w:rPr>
          <w:b/>
        </w:rPr>
      </w:pPr>
      <w:r>
        <w:rPr>
          <w:b/>
        </w:rPr>
        <w:t xml:space="preserve">Observation 2: </w:t>
      </w:r>
      <w:r w:rsidRPr="006637BC">
        <w:rPr>
          <w:b/>
        </w:rPr>
        <w:t>In the current form, in case multiple TSC streams</w:t>
      </w:r>
      <w:r>
        <w:rPr>
          <w:b/>
        </w:rPr>
        <w:t xml:space="preserve"> are mapped on a single QoS flow, TSCAI is unusable by the gNB. </w:t>
      </w:r>
    </w:p>
    <w:p w14:paraId="77235C2E" w14:textId="15409EE3" w:rsidR="007C3D2F" w:rsidRDefault="007C3D2F" w:rsidP="00820DD4">
      <w:pPr>
        <w:rPr>
          <w:b/>
        </w:rPr>
      </w:pPr>
      <w:r>
        <w:rPr>
          <w:b/>
        </w:rPr>
        <w:t xml:space="preserve">Observation 3: There are several different ways for the 5GS core network to obtain per-stream TSCAI, such as existing mechanisms in IEEE and proprietary integration with CNC/CUC. </w:t>
      </w:r>
    </w:p>
    <w:p w14:paraId="5C27994D" w14:textId="183B20E6" w:rsidR="001F0BAA" w:rsidRDefault="001F0BAA" w:rsidP="00D60162">
      <w:r>
        <w:t>Based on these observations</w:t>
      </w:r>
      <w:r w:rsidR="00856BA4">
        <w:t xml:space="preserve">, it is proposed to agree the following and send </w:t>
      </w:r>
      <w:proofErr w:type="gramStart"/>
      <w:r w:rsidR="00856BA4">
        <w:t>an</w:t>
      </w:r>
      <w:proofErr w:type="gramEnd"/>
      <w:r w:rsidR="00856BA4">
        <w:t xml:space="preserve"> LS to SA2 to clarify RAN2 viewpoint on the discussed issues related to TSCAI:</w:t>
      </w:r>
    </w:p>
    <w:p w14:paraId="1D327E60" w14:textId="77777777" w:rsidR="00820DD4" w:rsidRPr="007F35F3" w:rsidRDefault="00820DD4" w:rsidP="00820DD4">
      <w:pPr>
        <w:rPr>
          <w:b/>
        </w:rPr>
      </w:pPr>
      <w:r>
        <w:rPr>
          <w:b/>
        </w:rPr>
        <w:t>Proposal 1: Inform SA2 that in order to be able to utilize TSCAI, RAN needs to know TSCAI per TSC stream. Clarify that a single set of TSCAI values per QoS flow which aggregates multiple TSC streams is not usable for RAN.</w:t>
      </w:r>
    </w:p>
    <w:p w14:paraId="2F69E688" w14:textId="6B18D5AE" w:rsidR="00856BA4" w:rsidRPr="006C04F0" w:rsidRDefault="00856BA4" w:rsidP="00D60162">
      <w:r>
        <w:t>The draft LS to SA</w:t>
      </w:r>
      <w:r w:rsidR="00FD4EA0">
        <w:t>2</w:t>
      </w:r>
      <w:r>
        <w:t xml:space="preserve"> is provided in [</w:t>
      </w:r>
      <w:r w:rsidR="00147E7C">
        <w:t>4</w:t>
      </w:r>
      <w:r>
        <w:t>].</w:t>
      </w:r>
    </w:p>
    <w:p w14:paraId="5FF2457F" w14:textId="0CC7EB30" w:rsidR="00A209D6" w:rsidRPr="00D60162" w:rsidRDefault="003D6243" w:rsidP="00D60162">
      <w:pPr>
        <w:pStyle w:val="Heading1"/>
      </w:pPr>
      <w:r>
        <w:t>References</w:t>
      </w:r>
    </w:p>
    <w:p w14:paraId="432B0A82" w14:textId="7F0B8D97" w:rsidR="00A209D6" w:rsidRDefault="00D463A7" w:rsidP="00202DFC">
      <w:pPr>
        <w:pStyle w:val="ListParagraph"/>
        <w:numPr>
          <w:ilvl w:val="0"/>
          <w:numId w:val="11"/>
        </w:numPr>
      </w:pPr>
      <w:r>
        <w:t>3GPP TS 23.501</w:t>
      </w:r>
      <w:r w:rsidR="00202DFC">
        <w:t xml:space="preserve">, </w:t>
      </w:r>
      <w:r w:rsidRPr="00D463A7">
        <w:rPr>
          <w:i/>
        </w:rPr>
        <w:t>System Architecture for the 5G System</w:t>
      </w:r>
      <w:r>
        <w:rPr>
          <w:i/>
        </w:rPr>
        <w:t>; Stage 2</w:t>
      </w:r>
    </w:p>
    <w:p w14:paraId="528F7360" w14:textId="21356D41" w:rsidR="00E04CDB" w:rsidRDefault="00E04CDB" w:rsidP="00A209D6">
      <w:pPr>
        <w:pStyle w:val="ListParagraph"/>
        <w:numPr>
          <w:ilvl w:val="0"/>
          <w:numId w:val="11"/>
        </w:numPr>
      </w:pPr>
      <w:r w:rsidRPr="00E04CDB">
        <w:t>S2-1908630</w:t>
      </w:r>
      <w:r>
        <w:t xml:space="preserve">, </w:t>
      </w:r>
      <w:r w:rsidRPr="00E04CDB">
        <w:rPr>
          <w:i/>
        </w:rPr>
        <w:t>LS on 3GPP 5G System support for integration with IEEE TSN networks,</w:t>
      </w:r>
      <w:r>
        <w:t xml:space="preserve"> Source: SA2</w:t>
      </w:r>
    </w:p>
    <w:p w14:paraId="65168C39" w14:textId="1EAF17EA" w:rsidR="00E04CDB" w:rsidRDefault="00E04CDB" w:rsidP="00A209D6">
      <w:pPr>
        <w:pStyle w:val="ListParagraph"/>
        <w:numPr>
          <w:ilvl w:val="0"/>
          <w:numId w:val="11"/>
        </w:numPr>
      </w:pPr>
      <w:r w:rsidRPr="00E04CDB">
        <w:rPr>
          <w:i/>
        </w:rPr>
        <w:lastRenderedPageBreak/>
        <w:t>Response to LS on 3GPP 5G System support for integration with IEEE TSN networks</w:t>
      </w:r>
      <w:r>
        <w:t xml:space="preserve"> </w:t>
      </w:r>
      <w:r>
        <w:rPr>
          <w:i/>
        </w:rPr>
        <w:t xml:space="preserve">, </w:t>
      </w:r>
      <w:proofErr w:type="spellStart"/>
      <w:r>
        <w:rPr>
          <w:i/>
        </w:rPr>
        <w:t>Sourc</w:t>
      </w:r>
      <w:proofErr w:type="spellEnd"/>
      <w:r>
        <w:rPr>
          <w:i/>
        </w:rPr>
        <w:t xml:space="preserve">: IEEE 802.1 </w:t>
      </w:r>
      <w:r>
        <w:t>(</w:t>
      </w:r>
      <w:hyperlink r:id="rId14" w:history="1">
        <w:r w:rsidRPr="00467140">
          <w:rPr>
            <w:rStyle w:val="Hyperlink"/>
          </w:rPr>
          <w:t>http://www.ieee802.org/1/files/public/docs2019/liaison-response-3GPP-SA2-5G-integration-with-TSN-0719-v01.pdf</w:t>
        </w:r>
      </w:hyperlink>
      <w:r>
        <w:t>)</w:t>
      </w:r>
    </w:p>
    <w:p w14:paraId="4717A48F" w14:textId="02F02748" w:rsidR="00856BA4" w:rsidRPr="00D60162" w:rsidRDefault="00FD4EA0" w:rsidP="00A209D6">
      <w:pPr>
        <w:pStyle w:val="ListParagraph"/>
        <w:numPr>
          <w:ilvl w:val="0"/>
          <w:numId w:val="11"/>
        </w:numPr>
      </w:pPr>
      <w:r w:rsidRPr="00D948A4">
        <w:t>R2-190</w:t>
      </w:r>
      <w:r w:rsidR="007C3D2F" w:rsidRPr="00D948A4">
        <w:t>9486</w:t>
      </w:r>
      <w:r w:rsidR="00856BA4" w:rsidRPr="00D948A4">
        <w:t>,</w:t>
      </w:r>
      <w:r w:rsidR="00856BA4">
        <w:t xml:space="preserve"> </w:t>
      </w:r>
      <w:r w:rsidR="00BA420C">
        <w:rPr>
          <w:i/>
        </w:rPr>
        <w:t>[</w:t>
      </w:r>
      <w:r w:rsidR="00856BA4">
        <w:rPr>
          <w:i/>
        </w:rPr>
        <w:t>Draft</w:t>
      </w:r>
      <w:r w:rsidR="00BA420C">
        <w:rPr>
          <w:i/>
        </w:rPr>
        <w:t>]</w:t>
      </w:r>
      <w:r w:rsidR="00856BA4">
        <w:rPr>
          <w:i/>
        </w:rPr>
        <w:t xml:space="preserve"> LS to SA2 on </w:t>
      </w:r>
      <w:r w:rsidR="00BA420C">
        <w:rPr>
          <w:i/>
        </w:rPr>
        <w:t>remaining TSCAI</w:t>
      </w:r>
      <w:bookmarkStart w:id="2" w:name="_GoBack"/>
      <w:bookmarkEnd w:id="2"/>
      <w:r w:rsidR="00BA420C">
        <w:rPr>
          <w:i/>
        </w:rPr>
        <w:t xml:space="preserve"> aspects</w:t>
      </w:r>
      <w:r w:rsidR="002B07F0">
        <w:rPr>
          <w:i/>
        </w:rPr>
        <w:t xml:space="preserve">, </w:t>
      </w:r>
      <w:r w:rsidR="002B07F0">
        <w:t>Nokia, Nokia Shanghai Bell</w:t>
      </w:r>
    </w:p>
    <w:sectPr w:rsidR="00856BA4" w:rsidRPr="00D601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9BAAC" w14:textId="77777777" w:rsidR="00060F3D" w:rsidRDefault="00060F3D">
      <w:r>
        <w:separator/>
      </w:r>
    </w:p>
  </w:endnote>
  <w:endnote w:type="continuationSeparator" w:id="0">
    <w:p w14:paraId="7DB33B15" w14:textId="77777777" w:rsidR="00060F3D" w:rsidRDefault="0006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D4723" w:rsidRDefault="005D47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D4723" w:rsidRDefault="005D47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D4723" w:rsidRDefault="005D4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062C9" w14:textId="77777777" w:rsidR="00060F3D" w:rsidRDefault="00060F3D">
      <w:r>
        <w:separator/>
      </w:r>
    </w:p>
  </w:footnote>
  <w:footnote w:type="continuationSeparator" w:id="0">
    <w:p w14:paraId="12A62783" w14:textId="77777777" w:rsidR="00060F3D" w:rsidRDefault="00060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D4723" w:rsidRDefault="005D47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D4723" w:rsidRDefault="005D4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D4723" w:rsidRDefault="005D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1"/>
  </w:num>
  <w:num w:numId="7">
    <w:abstractNumId w:val="12"/>
  </w:num>
  <w:num w:numId="8">
    <w:abstractNumId w:val="2"/>
  </w:num>
  <w:num w:numId="9">
    <w:abstractNumId w:val="19"/>
  </w:num>
  <w:num w:numId="10">
    <w:abstractNumId w:val="5"/>
  </w:num>
  <w:num w:numId="11">
    <w:abstractNumId w:val="14"/>
  </w:num>
  <w:num w:numId="12">
    <w:abstractNumId w:val="3"/>
  </w:num>
  <w:num w:numId="13">
    <w:abstractNumId w:val="6"/>
  </w:num>
  <w:num w:numId="14">
    <w:abstractNumId w:val="15"/>
  </w:num>
  <w:num w:numId="15">
    <w:abstractNumId w:val="18"/>
  </w:num>
  <w:num w:numId="16">
    <w:abstractNumId w:val="18"/>
  </w:num>
  <w:num w:numId="17">
    <w:abstractNumId w:val="10"/>
  </w:num>
  <w:num w:numId="18">
    <w:abstractNumId w:val="17"/>
  </w:num>
  <w:num w:numId="19">
    <w:abstractNumId w:val="4"/>
  </w:num>
  <w:num w:numId="20">
    <w:abstractNumId w:val="13"/>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33397"/>
    <w:rsid w:val="00040095"/>
    <w:rsid w:val="00054B71"/>
    <w:rsid w:val="00060F3D"/>
    <w:rsid w:val="00065FE7"/>
    <w:rsid w:val="00073C9C"/>
    <w:rsid w:val="00080512"/>
    <w:rsid w:val="00090468"/>
    <w:rsid w:val="00094568"/>
    <w:rsid w:val="000A0E6B"/>
    <w:rsid w:val="000B7BCF"/>
    <w:rsid w:val="000C522B"/>
    <w:rsid w:val="000C6A5E"/>
    <w:rsid w:val="000D58AB"/>
    <w:rsid w:val="000E2527"/>
    <w:rsid w:val="00112F1A"/>
    <w:rsid w:val="001271D4"/>
    <w:rsid w:val="00141E89"/>
    <w:rsid w:val="00145075"/>
    <w:rsid w:val="00147E7C"/>
    <w:rsid w:val="001664A5"/>
    <w:rsid w:val="001741A0"/>
    <w:rsid w:val="00175FA0"/>
    <w:rsid w:val="00194CD0"/>
    <w:rsid w:val="001A5D01"/>
    <w:rsid w:val="001B49C9"/>
    <w:rsid w:val="001B666E"/>
    <w:rsid w:val="001B6F52"/>
    <w:rsid w:val="001C4F79"/>
    <w:rsid w:val="001D5EF4"/>
    <w:rsid w:val="001D7547"/>
    <w:rsid w:val="001F0BAA"/>
    <w:rsid w:val="001F168B"/>
    <w:rsid w:val="001F49DF"/>
    <w:rsid w:val="001F7831"/>
    <w:rsid w:val="00202DFC"/>
    <w:rsid w:val="00204045"/>
    <w:rsid w:val="0020712B"/>
    <w:rsid w:val="0022606D"/>
    <w:rsid w:val="00231728"/>
    <w:rsid w:val="002610D8"/>
    <w:rsid w:val="0026230A"/>
    <w:rsid w:val="00264EDC"/>
    <w:rsid w:val="0027003B"/>
    <w:rsid w:val="00273BC0"/>
    <w:rsid w:val="002747EC"/>
    <w:rsid w:val="00275179"/>
    <w:rsid w:val="002855BF"/>
    <w:rsid w:val="002921B4"/>
    <w:rsid w:val="00295BA8"/>
    <w:rsid w:val="002964CB"/>
    <w:rsid w:val="00297021"/>
    <w:rsid w:val="002B07F0"/>
    <w:rsid w:val="002B7C6C"/>
    <w:rsid w:val="002F0D22"/>
    <w:rsid w:val="002F46E6"/>
    <w:rsid w:val="003172DC"/>
    <w:rsid w:val="00325AE3"/>
    <w:rsid w:val="00326069"/>
    <w:rsid w:val="00331A10"/>
    <w:rsid w:val="0035462D"/>
    <w:rsid w:val="00364B41"/>
    <w:rsid w:val="00383096"/>
    <w:rsid w:val="003A41EF"/>
    <w:rsid w:val="003B40AD"/>
    <w:rsid w:val="003C2E32"/>
    <w:rsid w:val="003C4E37"/>
    <w:rsid w:val="003C5586"/>
    <w:rsid w:val="003D6243"/>
    <w:rsid w:val="003E16BE"/>
    <w:rsid w:val="003F4E28"/>
    <w:rsid w:val="004006E8"/>
    <w:rsid w:val="00401855"/>
    <w:rsid w:val="00465587"/>
    <w:rsid w:val="004773B3"/>
    <w:rsid w:val="00477455"/>
    <w:rsid w:val="004A1A66"/>
    <w:rsid w:val="004A1F7B"/>
    <w:rsid w:val="004C44D2"/>
    <w:rsid w:val="004D3578"/>
    <w:rsid w:val="004D380D"/>
    <w:rsid w:val="004D3FE5"/>
    <w:rsid w:val="004E213A"/>
    <w:rsid w:val="00503171"/>
    <w:rsid w:val="00506C28"/>
    <w:rsid w:val="0053037B"/>
    <w:rsid w:val="00534DA0"/>
    <w:rsid w:val="00543E6C"/>
    <w:rsid w:val="00565087"/>
    <w:rsid w:val="0056573F"/>
    <w:rsid w:val="00566EC4"/>
    <w:rsid w:val="0058151E"/>
    <w:rsid w:val="00582925"/>
    <w:rsid w:val="005D4723"/>
    <w:rsid w:val="005D70E8"/>
    <w:rsid w:val="00611566"/>
    <w:rsid w:val="00642DBC"/>
    <w:rsid w:val="00646D99"/>
    <w:rsid w:val="00656910"/>
    <w:rsid w:val="006637BC"/>
    <w:rsid w:val="006802B7"/>
    <w:rsid w:val="006807E2"/>
    <w:rsid w:val="006A2760"/>
    <w:rsid w:val="006C04F0"/>
    <w:rsid w:val="006C66D8"/>
    <w:rsid w:val="006D1E24"/>
    <w:rsid w:val="006D579E"/>
    <w:rsid w:val="006E1417"/>
    <w:rsid w:val="006F6A2C"/>
    <w:rsid w:val="00710201"/>
    <w:rsid w:val="0072073A"/>
    <w:rsid w:val="0072116D"/>
    <w:rsid w:val="007342B5"/>
    <w:rsid w:val="00734A5B"/>
    <w:rsid w:val="00736AC5"/>
    <w:rsid w:val="00744E76"/>
    <w:rsid w:val="00757D40"/>
    <w:rsid w:val="00781F0F"/>
    <w:rsid w:val="00783A66"/>
    <w:rsid w:val="0078727C"/>
    <w:rsid w:val="0079049D"/>
    <w:rsid w:val="00793DC5"/>
    <w:rsid w:val="007B17F9"/>
    <w:rsid w:val="007B18D8"/>
    <w:rsid w:val="007C095F"/>
    <w:rsid w:val="007C2DD0"/>
    <w:rsid w:val="007C3D2F"/>
    <w:rsid w:val="007F35F3"/>
    <w:rsid w:val="00801B36"/>
    <w:rsid w:val="008028A4"/>
    <w:rsid w:val="00813245"/>
    <w:rsid w:val="00820DD4"/>
    <w:rsid w:val="00850467"/>
    <w:rsid w:val="00856BA4"/>
    <w:rsid w:val="00873E98"/>
    <w:rsid w:val="008768CA"/>
    <w:rsid w:val="00877EF9"/>
    <w:rsid w:val="00880559"/>
    <w:rsid w:val="008835C9"/>
    <w:rsid w:val="0089319C"/>
    <w:rsid w:val="008A389B"/>
    <w:rsid w:val="008B5306"/>
    <w:rsid w:val="008C70B1"/>
    <w:rsid w:val="008D2E4D"/>
    <w:rsid w:val="008F396F"/>
    <w:rsid w:val="0090271F"/>
    <w:rsid w:val="00902DB9"/>
    <w:rsid w:val="00903F37"/>
    <w:rsid w:val="0090466A"/>
    <w:rsid w:val="00926C52"/>
    <w:rsid w:val="00936071"/>
    <w:rsid w:val="00940212"/>
    <w:rsid w:val="00942EC2"/>
    <w:rsid w:val="009544B7"/>
    <w:rsid w:val="00961B32"/>
    <w:rsid w:val="00962509"/>
    <w:rsid w:val="00970DB3"/>
    <w:rsid w:val="00972E7A"/>
    <w:rsid w:val="00973CAF"/>
    <w:rsid w:val="00974BB0"/>
    <w:rsid w:val="009937C2"/>
    <w:rsid w:val="009A0AF3"/>
    <w:rsid w:val="009B07CD"/>
    <w:rsid w:val="009C19E9"/>
    <w:rsid w:val="009D74A6"/>
    <w:rsid w:val="00A00CB1"/>
    <w:rsid w:val="00A10F02"/>
    <w:rsid w:val="00A204CA"/>
    <w:rsid w:val="00A209D6"/>
    <w:rsid w:val="00A44CAB"/>
    <w:rsid w:val="00A53724"/>
    <w:rsid w:val="00A54B2B"/>
    <w:rsid w:val="00A82346"/>
    <w:rsid w:val="00A9671C"/>
    <w:rsid w:val="00AA1553"/>
    <w:rsid w:val="00AB4D72"/>
    <w:rsid w:val="00AC13AF"/>
    <w:rsid w:val="00AC5161"/>
    <w:rsid w:val="00AD4107"/>
    <w:rsid w:val="00AE54A9"/>
    <w:rsid w:val="00B018C5"/>
    <w:rsid w:val="00B05380"/>
    <w:rsid w:val="00B05962"/>
    <w:rsid w:val="00B15449"/>
    <w:rsid w:val="00B16C2F"/>
    <w:rsid w:val="00B27303"/>
    <w:rsid w:val="00B342E7"/>
    <w:rsid w:val="00B354A6"/>
    <w:rsid w:val="00B44776"/>
    <w:rsid w:val="00B47FD1"/>
    <w:rsid w:val="00B516BB"/>
    <w:rsid w:val="00B60B8B"/>
    <w:rsid w:val="00B7101D"/>
    <w:rsid w:val="00B84DB2"/>
    <w:rsid w:val="00BA1391"/>
    <w:rsid w:val="00BA420C"/>
    <w:rsid w:val="00BA56BE"/>
    <w:rsid w:val="00BC03FE"/>
    <w:rsid w:val="00BC3555"/>
    <w:rsid w:val="00C12B51"/>
    <w:rsid w:val="00C24650"/>
    <w:rsid w:val="00C25465"/>
    <w:rsid w:val="00C33079"/>
    <w:rsid w:val="00C56182"/>
    <w:rsid w:val="00C82634"/>
    <w:rsid w:val="00C83A13"/>
    <w:rsid w:val="00C9068C"/>
    <w:rsid w:val="00C92967"/>
    <w:rsid w:val="00C95794"/>
    <w:rsid w:val="00CA3D0C"/>
    <w:rsid w:val="00CA541E"/>
    <w:rsid w:val="00CA654B"/>
    <w:rsid w:val="00CA72D7"/>
    <w:rsid w:val="00CB72B8"/>
    <w:rsid w:val="00CD4C7B"/>
    <w:rsid w:val="00CF3302"/>
    <w:rsid w:val="00D17947"/>
    <w:rsid w:val="00D2634B"/>
    <w:rsid w:val="00D33BE3"/>
    <w:rsid w:val="00D36A66"/>
    <w:rsid w:val="00D3792D"/>
    <w:rsid w:val="00D41BDA"/>
    <w:rsid w:val="00D463A7"/>
    <w:rsid w:val="00D55E47"/>
    <w:rsid w:val="00D60162"/>
    <w:rsid w:val="00D62E19"/>
    <w:rsid w:val="00D63141"/>
    <w:rsid w:val="00D67CD1"/>
    <w:rsid w:val="00D738D6"/>
    <w:rsid w:val="00D80795"/>
    <w:rsid w:val="00D854BE"/>
    <w:rsid w:val="00D87E00"/>
    <w:rsid w:val="00D9134D"/>
    <w:rsid w:val="00D948A4"/>
    <w:rsid w:val="00D96D11"/>
    <w:rsid w:val="00DA7A03"/>
    <w:rsid w:val="00DB0DB8"/>
    <w:rsid w:val="00DB1818"/>
    <w:rsid w:val="00DC309B"/>
    <w:rsid w:val="00DC4DA2"/>
    <w:rsid w:val="00DF7DDD"/>
    <w:rsid w:val="00E04CDB"/>
    <w:rsid w:val="00E0766C"/>
    <w:rsid w:val="00E46C08"/>
    <w:rsid w:val="00E471CF"/>
    <w:rsid w:val="00E535C7"/>
    <w:rsid w:val="00E62835"/>
    <w:rsid w:val="00E77645"/>
    <w:rsid w:val="00E83048"/>
    <w:rsid w:val="00E83697"/>
    <w:rsid w:val="00EA66C9"/>
    <w:rsid w:val="00EC4A25"/>
    <w:rsid w:val="00ED4898"/>
    <w:rsid w:val="00F025A2"/>
    <w:rsid w:val="00F07388"/>
    <w:rsid w:val="00F2026E"/>
    <w:rsid w:val="00F2210A"/>
    <w:rsid w:val="00F37743"/>
    <w:rsid w:val="00F47F5B"/>
    <w:rsid w:val="00F54A3D"/>
    <w:rsid w:val="00F54CB0"/>
    <w:rsid w:val="00F653B8"/>
    <w:rsid w:val="00F67C59"/>
    <w:rsid w:val="00F71B89"/>
    <w:rsid w:val="00F7353C"/>
    <w:rsid w:val="00F76F8F"/>
    <w:rsid w:val="00F866A6"/>
    <w:rsid w:val="00F941DF"/>
    <w:rsid w:val="00FA1266"/>
    <w:rsid w:val="00FB0023"/>
    <w:rsid w:val="00FB36FA"/>
    <w:rsid w:val="00FC1192"/>
    <w:rsid w:val="00FC77AE"/>
    <w:rsid w:val="00FD4EA0"/>
    <w:rsid w:val="00FE251B"/>
    <w:rsid w:val="00FE51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rsid w:val="00AB4D72"/>
    <w:rPr>
      <w:sz w:val="16"/>
      <w:szCs w:val="16"/>
    </w:rPr>
  </w:style>
  <w:style w:type="paragraph" w:styleId="CommentText">
    <w:name w:val="annotation text"/>
    <w:basedOn w:val="Normal"/>
    <w:link w:val="CommentTextChar"/>
    <w:rsid w:val="00AB4D72"/>
  </w:style>
  <w:style w:type="character" w:customStyle="1" w:styleId="CommentTextChar">
    <w:name w:val="Comment Text Char"/>
    <w:basedOn w:val="DefaultParagraphFont"/>
    <w:link w:val="CommentText"/>
    <w:rsid w:val="00AB4D72"/>
    <w:rPr>
      <w:lang w:eastAsia="en-US"/>
    </w:rPr>
  </w:style>
  <w:style w:type="paragraph" w:styleId="CommentSubject">
    <w:name w:val="annotation subject"/>
    <w:basedOn w:val="CommentText"/>
    <w:next w:val="CommentText"/>
    <w:link w:val="CommentSubjectChar"/>
    <w:rsid w:val="00AB4D72"/>
    <w:rPr>
      <w:b/>
      <w:bCs/>
    </w:rPr>
  </w:style>
  <w:style w:type="character" w:customStyle="1" w:styleId="CommentSubjectChar">
    <w:name w:val="Comment Subject Char"/>
    <w:basedOn w:val="CommentTextChar"/>
    <w:link w:val="CommentSubject"/>
    <w:rsid w:val="00AB4D7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eee802.org/1/files/public/docs2019/liaison-response-3GPP-SA2-5G-integration-with-TSN-0719-v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5AIRPNAIUNRU-859666464-5277</_dlc_DocId>
    <_dlc_DocIdUrl xmlns="71c5aaf6-e6ce-465b-b873-5148d2a4c105">
      <Url>https://nokia.sharepoint.com/sites/c5g/e2earch/_layouts/15/DocIdRedir.aspx?ID=5AIRPNAIUNRU-859666464-5277</Url>
      <Description>5AIRPNAIUNRU-859666464-5277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b34c8f0-1ef5-4d1e-bb66-517ce7fe7356"/>
    <ds:schemaRef ds:uri="a3840f4f-04be-43d1-b2ef-6ff1382503c7"/>
    <ds:schemaRef ds:uri="83f22d2f-d16e-4be6-ad4f-29fa0b067c3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 ds:uri="http://www.w3.org/2000/xmln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57D919-773D-4B4B-8BD8-201B1B43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1227</TotalTime>
  <Pages>4</Pages>
  <Words>1705</Words>
  <Characters>8438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Wallace</cp:lastModifiedBy>
  <cp:revision>124</cp:revision>
  <dcterms:created xsi:type="dcterms:W3CDTF">2016-08-12T03:53:00Z</dcterms:created>
  <dcterms:modified xsi:type="dcterms:W3CDTF">2019-08-15T10:32:00Z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e625f35b-1f3a-413e-9023-6449b9c5fb31</vt:lpwstr>
  </property>
</Properties>
</file>